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1133"/>
        <w:gridCol w:w="1843"/>
        <w:gridCol w:w="7229"/>
        <w:gridCol w:w="2976"/>
        <w:gridCol w:w="1643"/>
      </w:tblGrid>
      <w:tr w:rsidR="007215CB" w:rsidRPr="007215CB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7215CB" w:rsidRDefault="00A06425" w:rsidP="00861540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7215CB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861540"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Poprawa bezpieczeństwa kolejowego poprzez budowę Systemu Egzaminowania i Monitorowania Maszynistów</w:t>
            </w:r>
            <w:r w:rsidR="00F869E6"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9E6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</w:t>
            </w:r>
            <w:r w:rsidR="00861540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>Minister Infrastruktury</w:t>
            </w:r>
            <w:r w:rsidR="00F869E6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- </w:t>
            </w:r>
            <w:r w:rsidR="00861540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>Urząd Transportu Kolejowego</w:t>
            </w:r>
            <w:r w:rsidR="00F869E6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215CB" w:rsidRPr="007215CB" w:rsidTr="001F5185">
        <w:tc>
          <w:tcPr>
            <w:tcW w:w="183" w:type="pct"/>
            <w:shd w:val="clear" w:color="auto" w:fill="auto"/>
            <w:vAlign w:val="center"/>
          </w:tcPr>
          <w:p w:rsidR="00A06425" w:rsidRPr="007215CB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A06425" w:rsidRPr="007215C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99" w:type="pct"/>
            <w:shd w:val="clear" w:color="auto" w:fill="auto"/>
            <w:vAlign w:val="center"/>
          </w:tcPr>
          <w:p w:rsidR="00A06425" w:rsidRPr="007215CB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A06425" w:rsidRPr="007215C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A06425" w:rsidRPr="007215C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34" w:type="pct"/>
            <w:vAlign w:val="center"/>
          </w:tcPr>
          <w:p w:rsidR="00A06425" w:rsidRPr="007215CB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215CB" w:rsidRPr="007215CB" w:rsidTr="001F5185">
        <w:tc>
          <w:tcPr>
            <w:tcW w:w="183" w:type="pct"/>
            <w:shd w:val="clear" w:color="auto" w:fill="auto"/>
          </w:tcPr>
          <w:p w:rsidR="00C27A4C" w:rsidRPr="007215CB" w:rsidRDefault="00C27A4C" w:rsidP="00C27A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C27A4C" w:rsidRPr="007215CB" w:rsidRDefault="00C27A4C" w:rsidP="00C27A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C27A4C" w:rsidRPr="007215CB" w:rsidRDefault="00C27A4C" w:rsidP="00C27A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2349" w:type="pct"/>
            <w:shd w:val="clear" w:color="auto" w:fill="auto"/>
          </w:tcPr>
          <w:p w:rsidR="00C27A4C" w:rsidRPr="007215CB" w:rsidRDefault="00C27A4C" w:rsidP="00C27A4C">
            <w:pPr>
              <w:rPr>
                <w:rFonts w:ascii="Calibri" w:hAnsi="Calibri" w:cs="Calibri"/>
                <w:sz w:val="22"/>
                <w:szCs w:val="22"/>
              </w:rPr>
            </w:pPr>
            <w:r w:rsidRPr="007215CB">
              <w:rPr>
                <w:rFonts w:ascii="Calibri" w:hAnsi="Calibri" w:cs="Calibri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967" w:type="pct"/>
            <w:shd w:val="clear" w:color="auto" w:fill="auto"/>
          </w:tcPr>
          <w:p w:rsidR="00C27A4C" w:rsidRPr="007215CB" w:rsidRDefault="00C27A4C" w:rsidP="00C27A4C">
            <w:pPr>
              <w:rPr>
                <w:rFonts w:ascii="Calibri" w:hAnsi="Calibri" w:cs="Calibri"/>
                <w:sz w:val="22"/>
                <w:szCs w:val="22"/>
              </w:rPr>
            </w:pPr>
            <w:r w:rsidRPr="007215CB">
              <w:rPr>
                <w:rFonts w:ascii="Calibri" w:hAnsi="Calibri" w:cs="Calibri"/>
                <w:sz w:val="22"/>
                <w:szCs w:val="22"/>
              </w:rPr>
              <w:t>Wnioskodawcą dla projektu jest Minister Infrastruktury. Proszę o analizę i korektę raportu</w:t>
            </w:r>
          </w:p>
        </w:tc>
        <w:tc>
          <w:tcPr>
            <w:tcW w:w="534" w:type="pct"/>
          </w:tcPr>
          <w:p w:rsidR="00C27A4C" w:rsidRPr="007215CB" w:rsidRDefault="00C27A4C" w:rsidP="00C27A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1F5185">
        <w:tc>
          <w:tcPr>
            <w:tcW w:w="183" w:type="pct"/>
            <w:shd w:val="clear" w:color="auto" w:fill="auto"/>
          </w:tcPr>
          <w:p w:rsidR="009364E5" w:rsidRPr="007215CB" w:rsidRDefault="00DF2ED3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1B2CCA" w:rsidRPr="007215CB" w:rsidRDefault="001B2CCA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Nie określono wskaźników</w:t>
            </w:r>
            <w:r w:rsidR="008524EC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KPI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istotnych z punkt</w:t>
            </w:r>
            <w:r w:rsidR="009E1069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u widzenia użytkownika systemu tj. e-usługi, np. </w:t>
            </w:r>
          </w:p>
          <w:p w:rsidR="009E1069" w:rsidRPr="007215CB" w:rsidRDefault="009E1069" w:rsidP="00D02224">
            <w:pPr>
              <w:pStyle w:val="Akapitzlist"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Liczba usług publicznych udostępnionych on-line o stopniu dojrzałości 3 – dwustronna interakcja </w:t>
            </w:r>
          </w:p>
          <w:p w:rsidR="009E1069" w:rsidRPr="007215CB" w:rsidRDefault="009E1069" w:rsidP="00D022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9E1069" w:rsidRPr="007215CB" w:rsidRDefault="009E1069" w:rsidP="00D02224">
            <w:pPr>
              <w:pStyle w:val="Akapitzlist"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Liczba usług publicznych udostępnionych on-line o stopniu dojrzałości co najmniej 4 – transakcja</w:t>
            </w:r>
          </w:p>
          <w:p w:rsidR="009E1069" w:rsidRPr="007215CB" w:rsidRDefault="00D02224" w:rsidP="00D022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9E1069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ub </w:t>
            </w:r>
          </w:p>
          <w:p w:rsidR="009364E5" w:rsidRPr="007215CB" w:rsidRDefault="00EF5113" w:rsidP="00DF2ED3">
            <w:pPr>
              <w:pStyle w:val="Akapitzlist"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(w związku z uwagą nr </w:t>
            </w:r>
            <w:r w:rsidR="00DF2ED3" w:rsidRPr="007215C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9E1069" w:rsidRPr="007215CB">
              <w:rPr>
                <w:rFonts w:asciiTheme="minorHAnsi" w:hAnsiTheme="minorHAnsi" w:cstheme="minorHAnsi"/>
                <w:sz w:val="22"/>
                <w:szCs w:val="22"/>
              </w:rPr>
              <w:t>Liczba udostępnionych usług wewnątrzadministracyjnych (A2A)</w:t>
            </w:r>
            <w:r w:rsidR="00D02224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67" w:type="pct"/>
            <w:shd w:val="clear" w:color="auto" w:fill="auto"/>
          </w:tcPr>
          <w:p w:rsidR="009364E5" w:rsidRPr="007215CB" w:rsidRDefault="009E106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rozważenie uzupełnienia wykazu wskaźników</w:t>
            </w:r>
          </w:p>
        </w:tc>
        <w:tc>
          <w:tcPr>
            <w:tcW w:w="534" w:type="pct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1F5185">
        <w:tc>
          <w:tcPr>
            <w:tcW w:w="183" w:type="pct"/>
            <w:shd w:val="clear" w:color="auto" w:fill="auto"/>
          </w:tcPr>
          <w:p w:rsidR="00765EB4" w:rsidRPr="007215CB" w:rsidRDefault="00DF2ED3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:rsidR="00765EB4" w:rsidRPr="007215CB" w:rsidRDefault="00EE700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765EB4" w:rsidRPr="007215CB" w:rsidRDefault="00765EB4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765EB4" w:rsidRPr="007215CB" w:rsidRDefault="00765EB4" w:rsidP="00765E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 wiersz</w:t>
            </w:r>
            <w:r w:rsidR="008524EC" w:rsidRPr="007215CB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„metoda pomiaru KPI” nie podano jednoznacznie w jaki sposób będzie mierzony postęp w osiąganiu wskaźnika, a nadmiarowo opisano sposób w jaki oszacowane wartość aktualną i docelową. </w:t>
            </w:r>
          </w:p>
          <w:p w:rsidR="00765EB4" w:rsidRPr="007215CB" w:rsidRDefault="00765EB4" w:rsidP="00765E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Zgodnie z opisem na wzorze formularza (na stronie KRMC) należy tu określić metodę oraz sposób pomiaru KPI, np. badanie opinii interesariuszy, wskazać źródło danych oraz częstotliwość pomiaru.</w:t>
            </w:r>
          </w:p>
        </w:tc>
        <w:tc>
          <w:tcPr>
            <w:tcW w:w="967" w:type="pct"/>
            <w:shd w:val="clear" w:color="auto" w:fill="auto"/>
          </w:tcPr>
          <w:p w:rsidR="00765EB4" w:rsidRPr="007215CB" w:rsidRDefault="00765EB4" w:rsidP="00765E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534" w:type="pct"/>
          </w:tcPr>
          <w:p w:rsidR="00765EB4" w:rsidRPr="007215CB" w:rsidRDefault="00765EB4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03193B">
        <w:tc>
          <w:tcPr>
            <w:tcW w:w="183" w:type="pct"/>
            <w:shd w:val="clear" w:color="auto" w:fill="auto"/>
          </w:tcPr>
          <w:p w:rsidR="00D02224" w:rsidRPr="007215CB" w:rsidRDefault="00DF2ED3" w:rsidP="000319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D02224" w:rsidRPr="007215CB" w:rsidRDefault="00EE7005" w:rsidP="0003193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D02224" w:rsidRPr="007215CB" w:rsidRDefault="00D02224" w:rsidP="00031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2349" w:type="pct"/>
            <w:shd w:val="clear" w:color="auto" w:fill="auto"/>
          </w:tcPr>
          <w:p w:rsidR="00D02224" w:rsidRPr="007215CB" w:rsidRDefault="00D02224" w:rsidP="000319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 dokumencie występują usługi</w:t>
            </w:r>
            <w:r w:rsidR="00EE7005">
              <w:rPr>
                <w:rFonts w:asciiTheme="minorHAnsi" w:hAnsiTheme="minorHAnsi" w:cstheme="minorHAnsi"/>
                <w:sz w:val="22"/>
                <w:szCs w:val="22"/>
              </w:rPr>
              <w:t xml:space="preserve"> typu A2A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, które </w:t>
            </w:r>
            <w:r w:rsidR="00EE7005">
              <w:rPr>
                <w:rFonts w:asciiTheme="minorHAnsi" w:hAnsiTheme="minorHAnsi" w:cstheme="minorHAnsi"/>
                <w:sz w:val="22"/>
                <w:szCs w:val="22"/>
              </w:rPr>
              <w:t xml:space="preserve">są oznaczone jako usługi typu 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A2B lub A2C, np. przesłanie z systemu</w:t>
            </w:r>
            <w:r w:rsidR="00EE700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dla którego właścicielem jest UTK, informacji do UTK.</w:t>
            </w:r>
          </w:p>
          <w:p w:rsidR="00436DF1" w:rsidRPr="007215CB" w:rsidRDefault="00EE7005" w:rsidP="000319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436DF1" w:rsidRPr="007215CB">
              <w:rPr>
                <w:rFonts w:asciiTheme="minorHAnsi" w:hAnsiTheme="minorHAnsi" w:cstheme="minorHAnsi"/>
                <w:sz w:val="22"/>
                <w:szCs w:val="22"/>
              </w:rPr>
              <w:t>iewłaściwie również podano zakres oddziaływania.</w:t>
            </w:r>
          </w:p>
        </w:tc>
        <w:tc>
          <w:tcPr>
            <w:tcW w:w="967" w:type="pct"/>
            <w:shd w:val="clear" w:color="auto" w:fill="auto"/>
          </w:tcPr>
          <w:p w:rsidR="00D02224" w:rsidRPr="007215CB" w:rsidRDefault="00D02224" w:rsidP="00031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534" w:type="pct"/>
          </w:tcPr>
          <w:p w:rsidR="00D02224" w:rsidRPr="007215CB" w:rsidRDefault="00D02224" w:rsidP="00031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064F25">
        <w:tc>
          <w:tcPr>
            <w:tcW w:w="183" w:type="pct"/>
            <w:shd w:val="clear" w:color="auto" w:fill="auto"/>
          </w:tcPr>
          <w:p w:rsidR="007E7308" w:rsidRPr="007215CB" w:rsidRDefault="00DF2ED3" w:rsidP="00064F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:rsidR="007E7308" w:rsidRPr="007215CB" w:rsidRDefault="007E7308" w:rsidP="0006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7E7308" w:rsidRPr="007215CB" w:rsidRDefault="007E7308" w:rsidP="007E7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2.3. Udostępnione informacje sektora 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publicznego i zdigitalizowane zasoby</w:t>
            </w:r>
          </w:p>
        </w:tc>
        <w:tc>
          <w:tcPr>
            <w:tcW w:w="2349" w:type="pct"/>
            <w:shd w:val="clear" w:color="auto" w:fill="auto"/>
          </w:tcPr>
          <w:p w:rsidR="007E7308" w:rsidRPr="007215CB" w:rsidRDefault="007E7308" w:rsidP="007E7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rozdziale 7.4 poinformowano o planach udostępniania rejestru, cz</w:t>
            </w:r>
            <w:r w:rsidR="009077C2" w:rsidRPr="007215CB">
              <w:rPr>
                <w:rFonts w:asciiTheme="minorHAnsi" w:hAnsiTheme="minorHAnsi" w:cstheme="minorHAnsi"/>
                <w:sz w:val="22"/>
                <w:szCs w:val="22"/>
              </w:rPr>
              <w:t>ego nie wykazano w rozdziale 2.3.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67" w:type="pct"/>
            <w:shd w:val="clear" w:color="auto" w:fill="auto"/>
          </w:tcPr>
          <w:p w:rsidR="007E7308" w:rsidRPr="007215CB" w:rsidRDefault="007E7308" w:rsidP="0006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534" w:type="pct"/>
          </w:tcPr>
          <w:p w:rsidR="007E7308" w:rsidRPr="007215CB" w:rsidRDefault="007E7308" w:rsidP="0006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1F5185">
        <w:tc>
          <w:tcPr>
            <w:tcW w:w="183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3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2349" w:type="pct"/>
            <w:shd w:val="clear" w:color="auto" w:fill="auto"/>
          </w:tcPr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Wymienione produkty systemu powinny mieć swoje odzwierciedlenie w planowanej rozbudowie/modyfikacji systemu prezentowanej w części 7.2 opisu założeń pt. „Kluczowe komponenty architektury rozwiązania”</w:t>
            </w:r>
            <w:r w:rsidR="009077C2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i 7.4 Opis zasobów danych przetwarzanych w planowanym rozwiązaniu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3129C" w:rsidRPr="007215CB" w:rsidRDefault="0073129C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3129C" w:rsidRPr="007215CB" w:rsidRDefault="0073129C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 rozdziale 7.2 wymieniono 5 produktów końcowych</w:t>
            </w:r>
            <w:r w:rsidR="00E278AD" w:rsidRPr="007215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E278AD" w:rsidRPr="007215CB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SEMM</w:t>
            </w:r>
            <w:r w:rsidR="00601EF9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601EF9" w:rsidRPr="007215CB">
              <w:rPr>
                <w:rFonts w:asciiTheme="minorHAnsi" w:hAnsiTheme="minorHAnsi" w:cstheme="minorHAnsi"/>
                <w:sz w:val="22"/>
                <w:szCs w:val="22"/>
              </w:rPr>
              <w:t>KREMiPPK</w:t>
            </w:r>
            <w:proofErr w:type="spellEnd"/>
            <w:r w:rsidR="00601EF9" w:rsidRPr="007215C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E278AD" w:rsidRPr="007215CB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Szyna ESB</w:t>
            </w:r>
          </w:p>
          <w:p w:rsidR="00E278AD" w:rsidRPr="007215CB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Baza danych</w:t>
            </w:r>
          </w:p>
          <w:p w:rsidR="00E278AD" w:rsidRPr="007215CB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Symulator</w:t>
            </w:r>
          </w:p>
          <w:p w:rsidR="00E278AD" w:rsidRPr="007215CB" w:rsidRDefault="00E278AD" w:rsidP="0075617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Aplikacja obsługi symulatora</w:t>
            </w:r>
          </w:p>
          <w:p w:rsidR="00CF4069" w:rsidRPr="007215CB" w:rsidRDefault="00CF4069" w:rsidP="00CF40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4069" w:rsidRPr="007215CB" w:rsidRDefault="00CF4069" w:rsidP="00CF40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Do produktów końcowych należy również wliczyć: rejestr egzaminatorów, o którym mowa w rozdziale 7.4.</w:t>
            </w:r>
          </w:p>
        </w:tc>
        <w:tc>
          <w:tcPr>
            <w:tcW w:w="9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534" w:type="pct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1F5185">
        <w:tc>
          <w:tcPr>
            <w:tcW w:w="183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3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2349" w:type="pct"/>
            <w:shd w:val="clear" w:color="auto" w:fill="auto"/>
          </w:tcPr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Kamień milowy to ważny „punkt kontrolny” projektu, który podsumowuje określony zestaw produktów i związaną z nimi grupę działań oraz umożliwia ocenę jego osiągnięcia, dlatego powinny być określone w odstępach maksymalnie 6 miesięcy, natomiast w przypadku projektów o okresie realizacji krótszym niż 3 lata, jeśli jest to możliwe, częstotliwość określenia kamieni milowych powinna być jeszcze większa.</w:t>
            </w:r>
          </w:p>
        </w:tc>
        <w:tc>
          <w:tcPr>
            <w:tcW w:w="9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rozszerzenie zakresu kamieni milowych i korektę opisu założeń</w:t>
            </w:r>
          </w:p>
        </w:tc>
        <w:tc>
          <w:tcPr>
            <w:tcW w:w="534" w:type="pct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1F5185">
        <w:tc>
          <w:tcPr>
            <w:tcW w:w="183" w:type="pct"/>
            <w:shd w:val="clear" w:color="auto" w:fill="auto"/>
          </w:tcPr>
          <w:p w:rsidR="009364E5" w:rsidRPr="007215CB" w:rsidRDefault="00126900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3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W tabeli „Lista systemów wykorzystywanych w projekcie” nie wymieniono wszystkich systemów kooperujących z </w:t>
            </w:r>
            <w:r w:rsidR="00E278AD" w:rsidRPr="007215CB">
              <w:rPr>
                <w:rFonts w:asciiTheme="minorHAnsi" w:hAnsiTheme="minorHAnsi" w:cstheme="minorHAnsi"/>
                <w:sz w:val="22"/>
                <w:szCs w:val="22"/>
              </w:rPr>
              <w:t>SEMM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wykazanych na grafice, tj.</w:t>
            </w:r>
          </w:p>
          <w:p w:rsidR="009364E5" w:rsidRPr="007215CB" w:rsidRDefault="009966AB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systemów</w:t>
            </w:r>
            <w:r w:rsidR="009364E5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zw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iązanych</w:t>
            </w:r>
            <w:r w:rsidR="009364E5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z: </w:t>
            </w:r>
          </w:p>
          <w:p w:rsidR="009364E5" w:rsidRPr="007215CB" w:rsidRDefault="00E278AD" w:rsidP="009966AB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systemy lokalne przedsiębiorców kolejowych</w:t>
            </w:r>
            <w:r w:rsidR="009364E5" w:rsidRPr="007215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278AD" w:rsidRPr="007215CB" w:rsidRDefault="00E278AD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Wykazano natomiast nadmiarowo system SEMM.</w:t>
            </w: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Przepływy opisane w tabeli „Lista przepływów” </w:t>
            </w:r>
            <w:r w:rsidR="00E278AD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(powinno być 14) 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muszą dotyczyć systemów wykazanych w tabeli „Lista systemów wykorzystywanych w projekcie”, a diagram architektury musi odzwierciedlać zarówno systemy, o których mowa powyżej, jak i kierunek przepływów.</w:t>
            </w: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C38C0" w:rsidRPr="007215CB" w:rsidRDefault="009C38C0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przypadku niektórych przepływów konieczne jest bardziej szczegółowy opis zakresu wymaganych danych np.: </w:t>
            </w:r>
          </w:p>
          <w:p w:rsidR="009C38C0" w:rsidRPr="007215CB" w:rsidRDefault="009C38C0" w:rsidP="009C38C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Dane infrastruktury kolejowej</w:t>
            </w:r>
          </w:p>
          <w:p w:rsidR="009C38C0" w:rsidRPr="007215CB" w:rsidRDefault="009C38C0" w:rsidP="009C38C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Struktura TERYT</w:t>
            </w:r>
          </w:p>
          <w:p w:rsidR="009C38C0" w:rsidRPr="007215CB" w:rsidRDefault="009C38C0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„Celem diagramu kooperacji aplikacji jest pokazanie wszystkich systemów wykorzystanych w projekcie oraz przepływów pomiędzy nimi (włączając systemy partnerów zewnętrznych). Na modyfikowanych w ramach rozwiązania relacjach można wskazać dane przepływające pomiędzy systemami. Statusy systemów i przepływów należy oznaczyć kolorami”.</w:t>
            </w:r>
          </w:p>
        </w:tc>
        <w:tc>
          <w:tcPr>
            <w:tcW w:w="9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opisu założeń oraz </w:t>
            </w:r>
            <w:proofErr w:type="spellStart"/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wszystkich trzech części rozdziału 7. „Architektura”</w:t>
            </w:r>
          </w:p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" w:type="pct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9916A8">
        <w:tc>
          <w:tcPr>
            <w:tcW w:w="183" w:type="pct"/>
            <w:shd w:val="clear" w:color="auto" w:fill="auto"/>
          </w:tcPr>
          <w:p w:rsidR="009364E5" w:rsidRPr="007215CB" w:rsidRDefault="00126900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3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9" w:type="pct"/>
            <w:shd w:val="clear" w:color="auto" w:fill="auto"/>
          </w:tcPr>
          <w:p w:rsidR="009364E5" w:rsidRPr="007215CB" w:rsidRDefault="003D2647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9364E5" w:rsidRPr="007215CB" w:rsidRDefault="003D2647" w:rsidP="001E0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Projekt nie ma</w:t>
            </w:r>
            <w:r w:rsidR="001E09FB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powiązań z innymi systemami obsługującymi rejestry kwalifikacji zawodowych</w:t>
            </w:r>
          </w:p>
        </w:tc>
        <w:tc>
          <w:tcPr>
            <w:tcW w:w="967" w:type="pct"/>
            <w:shd w:val="clear" w:color="auto" w:fill="auto"/>
          </w:tcPr>
          <w:p w:rsidR="009364E5" w:rsidRPr="007215CB" w:rsidRDefault="003D2647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wyjaśnienie lub uzupełnienie opisu założeń</w:t>
            </w:r>
          </w:p>
        </w:tc>
        <w:tc>
          <w:tcPr>
            <w:tcW w:w="534" w:type="pct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CB" w:rsidRPr="007215CB" w:rsidTr="009916A8">
        <w:tc>
          <w:tcPr>
            <w:tcW w:w="183" w:type="pct"/>
            <w:shd w:val="clear" w:color="auto" w:fill="auto"/>
          </w:tcPr>
          <w:p w:rsidR="00CF4069" w:rsidRPr="007215CB" w:rsidRDefault="00126900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368" w:type="pct"/>
            <w:shd w:val="clear" w:color="auto" w:fill="auto"/>
          </w:tcPr>
          <w:p w:rsidR="00CF4069" w:rsidRPr="007215CB" w:rsidRDefault="00CF4069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9" w:type="pct"/>
            <w:shd w:val="clear" w:color="auto" w:fill="auto"/>
          </w:tcPr>
          <w:p w:rsidR="00CF4069" w:rsidRPr="007215CB" w:rsidRDefault="00CF406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7.2 Kluczowe komponenty architektury rozwiązania</w:t>
            </w:r>
          </w:p>
        </w:tc>
        <w:tc>
          <w:tcPr>
            <w:tcW w:w="2349" w:type="pct"/>
            <w:shd w:val="clear" w:color="auto" w:fill="auto"/>
          </w:tcPr>
          <w:p w:rsidR="00CF4069" w:rsidRPr="007215CB" w:rsidRDefault="00CF4069" w:rsidP="00CF40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Rejestr egzaminatorów powinien pojawić się na grafice komponentów wewnętrznych systemu.</w:t>
            </w:r>
          </w:p>
        </w:tc>
        <w:tc>
          <w:tcPr>
            <w:tcW w:w="967" w:type="pct"/>
            <w:shd w:val="clear" w:color="auto" w:fill="auto"/>
          </w:tcPr>
          <w:p w:rsidR="00CF4069" w:rsidRPr="007215CB" w:rsidRDefault="00CF4069" w:rsidP="00CF40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ew. uzupełnienie opisu założeń</w:t>
            </w:r>
          </w:p>
        </w:tc>
        <w:tc>
          <w:tcPr>
            <w:tcW w:w="534" w:type="pct"/>
          </w:tcPr>
          <w:p w:rsidR="00CF4069" w:rsidRPr="007215CB" w:rsidRDefault="00CF406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2DA" w:rsidRDefault="006D12DA" w:rsidP="00306D42">
      <w:r>
        <w:separator/>
      </w:r>
    </w:p>
  </w:endnote>
  <w:endnote w:type="continuationSeparator" w:id="0">
    <w:p w:rsidR="006D12DA" w:rsidRDefault="006D12DA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E700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E700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2DA" w:rsidRDefault="006D12DA" w:rsidP="00306D42">
      <w:r>
        <w:separator/>
      </w:r>
    </w:p>
  </w:footnote>
  <w:footnote w:type="continuationSeparator" w:id="0">
    <w:p w:rsidR="006D12DA" w:rsidRDefault="006D12DA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90D22"/>
    <w:multiLevelType w:val="hybridMultilevel"/>
    <w:tmpl w:val="BD805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75795C"/>
    <w:multiLevelType w:val="hybridMultilevel"/>
    <w:tmpl w:val="1364389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2"/>
  </w:num>
  <w:num w:numId="4">
    <w:abstractNumId w:val="3"/>
  </w:num>
  <w:num w:numId="5">
    <w:abstractNumId w:val="13"/>
  </w:num>
  <w:num w:numId="6">
    <w:abstractNumId w:val="19"/>
  </w:num>
  <w:num w:numId="7">
    <w:abstractNumId w:val="0"/>
  </w:num>
  <w:num w:numId="8">
    <w:abstractNumId w:val="20"/>
  </w:num>
  <w:num w:numId="9">
    <w:abstractNumId w:val="5"/>
  </w:num>
  <w:num w:numId="10">
    <w:abstractNumId w:val="6"/>
  </w:num>
  <w:num w:numId="11">
    <w:abstractNumId w:val="11"/>
  </w:num>
  <w:num w:numId="12">
    <w:abstractNumId w:val="17"/>
  </w:num>
  <w:num w:numId="13">
    <w:abstractNumId w:val="15"/>
  </w:num>
  <w:num w:numId="14">
    <w:abstractNumId w:val="16"/>
  </w:num>
  <w:num w:numId="15">
    <w:abstractNumId w:val="9"/>
  </w:num>
  <w:num w:numId="16">
    <w:abstractNumId w:val="14"/>
  </w:num>
  <w:num w:numId="17">
    <w:abstractNumId w:val="10"/>
  </w:num>
  <w:num w:numId="18">
    <w:abstractNumId w:val="4"/>
  </w:num>
  <w:num w:numId="19">
    <w:abstractNumId w:val="8"/>
  </w:num>
  <w:num w:numId="20">
    <w:abstractNumId w:val="2"/>
  </w:num>
  <w:num w:numId="21">
    <w:abstractNumId w:val="22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172F3"/>
    <w:rsid w:val="00034258"/>
    <w:rsid w:val="000475C5"/>
    <w:rsid w:val="00057E92"/>
    <w:rsid w:val="00067F46"/>
    <w:rsid w:val="00074257"/>
    <w:rsid w:val="00093D8B"/>
    <w:rsid w:val="000B7EC9"/>
    <w:rsid w:val="000E33B9"/>
    <w:rsid w:val="000E705D"/>
    <w:rsid w:val="000F37CF"/>
    <w:rsid w:val="000F6679"/>
    <w:rsid w:val="00105DDE"/>
    <w:rsid w:val="00124098"/>
    <w:rsid w:val="00126900"/>
    <w:rsid w:val="00140BE8"/>
    <w:rsid w:val="00145E7F"/>
    <w:rsid w:val="00175F59"/>
    <w:rsid w:val="00180A27"/>
    <w:rsid w:val="0018795A"/>
    <w:rsid w:val="00195CCB"/>
    <w:rsid w:val="0019648E"/>
    <w:rsid w:val="001B2CCA"/>
    <w:rsid w:val="001C1078"/>
    <w:rsid w:val="001C12E9"/>
    <w:rsid w:val="001C70F8"/>
    <w:rsid w:val="001D7AA0"/>
    <w:rsid w:val="001E09FB"/>
    <w:rsid w:val="001F5185"/>
    <w:rsid w:val="0020012B"/>
    <w:rsid w:val="00213669"/>
    <w:rsid w:val="00213772"/>
    <w:rsid w:val="00220996"/>
    <w:rsid w:val="002715B2"/>
    <w:rsid w:val="00273B13"/>
    <w:rsid w:val="002901C3"/>
    <w:rsid w:val="00297C8E"/>
    <w:rsid w:val="002E5147"/>
    <w:rsid w:val="002E7B3C"/>
    <w:rsid w:val="002F2066"/>
    <w:rsid w:val="003035F3"/>
    <w:rsid w:val="00306D42"/>
    <w:rsid w:val="00311CC6"/>
    <w:rsid w:val="003124D1"/>
    <w:rsid w:val="0033339F"/>
    <w:rsid w:val="00335D93"/>
    <w:rsid w:val="003426BF"/>
    <w:rsid w:val="00346051"/>
    <w:rsid w:val="003564FA"/>
    <w:rsid w:val="0037500A"/>
    <w:rsid w:val="003814F6"/>
    <w:rsid w:val="00395708"/>
    <w:rsid w:val="003A3582"/>
    <w:rsid w:val="003B4105"/>
    <w:rsid w:val="003C24B1"/>
    <w:rsid w:val="003D2647"/>
    <w:rsid w:val="003E0026"/>
    <w:rsid w:val="003E4163"/>
    <w:rsid w:val="00405397"/>
    <w:rsid w:val="00436786"/>
    <w:rsid w:val="00436DF1"/>
    <w:rsid w:val="00441220"/>
    <w:rsid w:val="0046705B"/>
    <w:rsid w:val="0047099E"/>
    <w:rsid w:val="004D086F"/>
    <w:rsid w:val="00534E8D"/>
    <w:rsid w:val="00540079"/>
    <w:rsid w:val="005578C2"/>
    <w:rsid w:val="0058089A"/>
    <w:rsid w:val="005B7F56"/>
    <w:rsid w:val="005C483A"/>
    <w:rsid w:val="005C5D53"/>
    <w:rsid w:val="005F6527"/>
    <w:rsid w:val="00601EF9"/>
    <w:rsid w:val="00622CDD"/>
    <w:rsid w:val="00626712"/>
    <w:rsid w:val="006705EC"/>
    <w:rsid w:val="00676C72"/>
    <w:rsid w:val="0068274C"/>
    <w:rsid w:val="006843C4"/>
    <w:rsid w:val="00685E3C"/>
    <w:rsid w:val="006A7E89"/>
    <w:rsid w:val="006C55FD"/>
    <w:rsid w:val="006C6FE0"/>
    <w:rsid w:val="006D12DA"/>
    <w:rsid w:val="006D1426"/>
    <w:rsid w:val="006E122E"/>
    <w:rsid w:val="006E16E9"/>
    <w:rsid w:val="006E5A15"/>
    <w:rsid w:val="0072026B"/>
    <w:rsid w:val="007215CB"/>
    <w:rsid w:val="0073129C"/>
    <w:rsid w:val="007331C4"/>
    <w:rsid w:val="0074103D"/>
    <w:rsid w:val="00756173"/>
    <w:rsid w:val="00765EB4"/>
    <w:rsid w:val="00770E57"/>
    <w:rsid w:val="00784B26"/>
    <w:rsid w:val="0079342F"/>
    <w:rsid w:val="007B7100"/>
    <w:rsid w:val="007E7308"/>
    <w:rsid w:val="00807385"/>
    <w:rsid w:val="0081484A"/>
    <w:rsid w:val="0081599C"/>
    <w:rsid w:val="008204CE"/>
    <w:rsid w:val="00825909"/>
    <w:rsid w:val="008524EC"/>
    <w:rsid w:val="00861540"/>
    <w:rsid w:val="00871ADF"/>
    <w:rsid w:val="008A1D46"/>
    <w:rsid w:val="008A6311"/>
    <w:rsid w:val="008B3FC6"/>
    <w:rsid w:val="008F18AE"/>
    <w:rsid w:val="009077C2"/>
    <w:rsid w:val="00911C49"/>
    <w:rsid w:val="009167E7"/>
    <w:rsid w:val="009207F6"/>
    <w:rsid w:val="009322B3"/>
    <w:rsid w:val="009364E5"/>
    <w:rsid w:val="00943478"/>
    <w:rsid w:val="00944932"/>
    <w:rsid w:val="009966AB"/>
    <w:rsid w:val="009B57C5"/>
    <w:rsid w:val="009C38C0"/>
    <w:rsid w:val="009D233C"/>
    <w:rsid w:val="009D2E1D"/>
    <w:rsid w:val="009E1069"/>
    <w:rsid w:val="009E5FDB"/>
    <w:rsid w:val="00A06425"/>
    <w:rsid w:val="00A06F10"/>
    <w:rsid w:val="00A10C56"/>
    <w:rsid w:val="00A2323F"/>
    <w:rsid w:val="00A259C4"/>
    <w:rsid w:val="00A743E6"/>
    <w:rsid w:val="00A85626"/>
    <w:rsid w:val="00AC0420"/>
    <w:rsid w:val="00AC1954"/>
    <w:rsid w:val="00AC6BF4"/>
    <w:rsid w:val="00AC7796"/>
    <w:rsid w:val="00AD7524"/>
    <w:rsid w:val="00AF139A"/>
    <w:rsid w:val="00B11FE8"/>
    <w:rsid w:val="00B26649"/>
    <w:rsid w:val="00B3769C"/>
    <w:rsid w:val="00B67CFF"/>
    <w:rsid w:val="00B700F8"/>
    <w:rsid w:val="00B70F70"/>
    <w:rsid w:val="00B871B6"/>
    <w:rsid w:val="00BB0B8F"/>
    <w:rsid w:val="00BC112E"/>
    <w:rsid w:val="00BD128A"/>
    <w:rsid w:val="00BF7390"/>
    <w:rsid w:val="00C27A4C"/>
    <w:rsid w:val="00C64B1B"/>
    <w:rsid w:val="00C73026"/>
    <w:rsid w:val="00CA5E19"/>
    <w:rsid w:val="00CC271D"/>
    <w:rsid w:val="00CD0B30"/>
    <w:rsid w:val="00CD5EB0"/>
    <w:rsid w:val="00CE1578"/>
    <w:rsid w:val="00CF1637"/>
    <w:rsid w:val="00CF4069"/>
    <w:rsid w:val="00D02224"/>
    <w:rsid w:val="00D058CC"/>
    <w:rsid w:val="00D13D1E"/>
    <w:rsid w:val="00D16C7B"/>
    <w:rsid w:val="00D247C7"/>
    <w:rsid w:val="00DC2B0F"/>
    <w:rsid w:val="00DE4752"/>
    <w:rsid w:val="00DE6F11"/>
    <w:rsid w:val="00DF2ED3"/>
    <w:rsid w:val="00E031A5"/>
    <w:rsid w:val="00E14C33"/>
    <w:rsid w:val="00E24678"/>
    <w:rsid w:val="00E278AD"/>
    <w:rsid w:val="00E37340"/>
    <w:rsid w:val="00E44E92"/>
    <w:rsid w:val="00E677BB"/>
    <w:rsid w:val="00E83083"/>
    <w:rsid w:val="00EB6543"/>
    <w:rsid w:val="00EB79CB"/>
    <w:rsid w:val="00EC7391"/>
    <w:rsid w:val="00EE6879"/>
    <w:rsid w:val="00EE7005"/>
    <w:rsid w:val="00EF5113"/>
    <w:rsid w:val="00F019F8"/>
    <w:rsid w:val="00F0231F"/>
    <w:rsid w:val="00F27556"/>
    <w:rsid w:val="00F35C9F"/>
    <w:rsid w:val="00F44950"/>
    <w:rsid w:val="00F53B8D"/>
    <w:rsid w:val="00F86451"/>
    <w:rsid w:val="00F869E6"/>
    <w:rsid w:val="00FA27CD"/>
    <w:rsid w:val="00FA6118"/>
    <w:rsid w:val="00FB3EFB"/>
    <w:rsid w:val="00FC0F97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96</cp:revision>
  <dcterms:created xsi:type="dcterms:W3CDTF">2020-10-30T16:18:00Z</dcterms:created>
  <dcterms:modified xsi:type="dcterms:W3CDTF">2020-12-09T15:56:00Z</dcterms:modified>
</cp:coreProperties>
</file>